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81" w:rsidRDefault="00F87581" w:rsidP="00F87581">
      <w:pPr>
        <w:autoSpaceDE w:val="0"/>
        <w:autoSpaceDN w:val="0"/>
        <w:adjustRightInd w:val="0"/>
        <w:jc w:val="center"/>
        <w:rPr>
          <w:b/>
          <w:bCs/>
          <w:sz w:val="20"/>
          <w:szCs w:val="20"/>
          <w:lang w:val="x-none" w:eastAsia="ro-RO"/>
        </w:rPr>
      </w:pPr>
      <w:bookmarkStart w:id="0" w:name="_GoBack"/>
      <w:bookmarkEnd w:id="0"/>
      <w:r>
        <w:rPr>
          <w:b/>
          <w:bCs/>
          <w:sz w:val="20"/>
          <w:szCs w:val="20"/>
          <w:lang w:val="x-none" w:eastAsia="ro-RO"/>
        </w:rPr>
        <w:t>Anunţ privind planul de reorganizare Promex Prod Export SRL</w:t>
      </w:r>
    </w:p>
    <w:p w:rsidR="00F87581" w:rsidRDefault="00F87581" w:rsidP="00F87581">
      <w:pPr>
        <w:autoSpaceDE w:val="0"/>
        <w:autoSpaceDN w:val="0"/>
        <w:adjustRightInd w:val="0"/>
        <w:jc w:val="center"/>
        <w:rPr>
          <w:sz w:val="20"/>
          <w:szCs w:val="20"/>
          <w:lang w:val="x-none" w:eastAsia="ro-RO"/>
        </w:rPr>
      </w:pPr>
      <w:r>
        <w:rPr>
          <w:sz w:val="20"/>
          <w:szCs w:val="20"/>
          <w:lang w:val="x-none" w:eastAsia="ro-RO"/>
        </w:rPr>
        <w:t>Număr: 11940/10.12.2018</w:t>
      </w:r>
    </w:p>
    <w:p w:rsidR="00F87581" w:rsidRDefault="00F87581" w:rsidP="00F87581">
      <w:pPr>
        <w:autoSpaceDE w:val="0"/>
        <w:autoSpaceDN w:val="0"/>
        <w:adjustRightInd w:val="0"/>
        <w:rPr>
          <w:sz w:val="20"/>
          <w:szCs w:val="20"/>
          <w:lang w:val="x-none" w:eastAsia="ro-RO"/>
        </w:rPr>
      </w:pPr>
      <w:r>
        <w:rPr>
          <w:sz w:val="20"/>
          <w:szCs w:val="20"/>
          <w:lang w:val="x-none" w:eastAsia="ro-RO"/>
        </w:rPr>
        <w:t>1. Date privind dosarul: nr. dosar 484/95/2017, Tribunalul Ilfov, Secţia  Civilă, Judecător-sindic: Minca Diana Eliza</w:t>
      </w:r>
    </w:p>
    <w:p w:rsidR="00F87581" w:rsidRDefault="00F87581" w:rsidP="00F87581">
      <w:pPr>
        <w:autoSpaceDE w:val="0"/>
        <w:autoSpaceDN w:val="0"/>
        <w:adjustRightInd w:val="0"/>
        <w:rPr>
          <w:sz w:val="20"/>
          <w:szCs w:val="20"/>
          <w:lang w:val="x-none" w:eastAsia="ro-RO"/>
        </w:rPr>
      </w:pPr>
      <w:r>
        <w:rPr>
          <w:sz w:val="20"/>
          <w:szCs w:val="20"/>
          <w:lang w:val="x-none" w:eastAsia="ro-RO"/>
        </w:rPr>
        <w:t xml:space="preserve">2. Arhiva instanţei: Oraşul Buftea, Strada Ştirbei Vodă nr. 24, Judeţul Ilfov, Programul arhivei/registraturii instanţei: luni-vineri 09:00-13:00. </w:t>
      </w:r>
    </w:p>
    <w:p w:rsidR="00F87581" w:rsidRDefault="00F87581" w:rsidP="00F87581">
      <w:pPr>
        <w:autoSpaceDE w:val="0"/>
        <w:autoSpaceDN w:val="0"/>
        <w:adjustRightInd w:val="0"/>
        <w:rPr>
          <w:sz w:val="20"/>
          <w:szCs w:val="20"/>
          <w:lang w:val="x-none" w:eastAsia="ro-RO"/>
        </w:rPr>
      </w:pPr>
      <w:r>
        <w:rPr>
          <w:sz w:val="20"/>
          <w:szCs w:val="20"/>
          <w:lang w:val="x-none" w:eastAsia="ro-RO"/>
        </w:rPr>
        <w:t>3. Debitor: Promex Prod Export SRL, cod de identificare fiscală 18784180, sediul social în oraş Voluntari, str. Carpaţi, nr. 52A, Spaţiu Privatizare, judeţ Ilfov și sediu profesional în Rovinari, str. Energeticianului, nr.17, jud. Gorj, număr de ordine în registrul comerţului J23/1246/2006.</w:t>
      </w:r>
    </w:p>
    <w:p w:rsidR="00F87581" w:rsidRDefault="00F87581" w:rsidP="00F87581">
      <w:pPr>
        <w:autoSpaceDE w:val="0"/>
        <w:autoSpaceDN w:val="0"/>
        <w:adjustRightInd w:val="0"/>
        <w:rPr>
          <w:sz w:val="20"/>
          <w:szCs w:val="20"/>
          <w:lang w:val="x-none" w:eastAsia="ro-RO"/>
        </w:rPr>
      </w:pPr>
      <w:r>
        <w:rPr>
          <w:sz w:val="20"/>
          <w:szCs w:val="20"/>
          <w:lang w:val="x-none" w:eastAsia="ro-RO"/>
        </w:rPr>
        <w:t>3.2 Administrator special: Bădiţa Dan Aurelian</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4.</w:t>
      </w:r>
      <w:r>
        <w:rPr>
          <w:color w:val="000000"/>
          <w:sz w:val="20"/>
          <w:szCs w:val="20"/>
          <w:lang w:val="x-none" w:eastAsia="ro-RO"/>
        </w:rPr>
        <w:t>Administrator judiciar:</w:t>
      </w:r>
      <w:r>
        <w:rPr>
          <w:sz w:val="20"/>
          <w:szCs w:val="20"/>
          <w:lang w:val="x-none" w:eastAsia="ro-RO"/>
        </w:rPr>
        <w:t xml:space="preserve"> Siomax SPRL cu sediul în Târgu Jiu, str. Unirii, nr. 3, P+E, jud. Gorj, înmatriculată la Registrul Formelor de Organizare al U.N.P.I.R. sub nr. RFO II-0024/2006, având cod de identificare fiscală RO20570332, e-mail siomaxtgjiu@yahoo.com, nume şi prenume reprezentant administrator judiciar persoană juridică Somnea Maria Mariana.</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 xml:space="preserve">5.Subscrisa: Siomax SPRL, în calitate de administrator judiciar al debitorului Promex Prod Export SRL, conform încheierii din data de 01.03.2018 pronunţată de Tribunalul Ilfov, secţia Civilă, în dosarul nr. 484/95/2017, </w:t>
      </w:r>
    </w:p>
    <w:p w:rsidR="00F87581" w:rsidRDefault="00F87581" w:rsidP="00F87581">
      <w:pPr>
        <w:autoSpaceDE w:val="0"/>
        <w:autoSpaceDN w:val="0"/>
        <w:adjustRightInd w:val="0"/>
        <w:rPr>
          <w:sz w:val="20"/>
          <w:szCs w:val="20"/>
          <w:lang w:val="x-none" w:eastAsia="ro-RO"/>
        </w:rPr>
      </w:pPr>
      <w:r>
        <w:rPr>
          <w:sz w:val="20"/>
          <w:szCs w:val="20"/>
          <w:lang w:val="x-none" w:eastAsia="ro-RO"/>
        </w:rPr>
        <w:t>Anunţă</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 xml:space="preserve">La data de 06.12.2018 a fost depus la  Tribunalului Ilfov, Secţia  Civilă, Planul de reorganizare judiciară a activităţii debitoarei Promex Prod Export SRL – în insolvenţă. </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Planul de reorganizare a fost propus de către administratorul special Bădiță Dan Aurelian</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Se convoacă adunarea creditorilor Promex Prod Export SRL – în insolvenţă la data de 08.01.2019, ora 11</w:t>
      </w:r>
      <w:r>
        <w:rPr>
          <w:sz w:val="20"/>
          <w:szCs w:val="20"/>
          <w:u w:val="single"/>
          <w:vertAlign w:val="superscript"/>
          <w:lang w:val="x-none" w:eastAsia="ro-RO"/>
        </w:rPr>
        <w:t>00</w:t>
      </w:r>
      <w:r>
        <w:rPr>
          <w:sz w:val="20"/>
          <w:szCs w:val="20"/>
          <w:lang w:val="x-none" w:eastAsia="ro-RO"/>
        </w:rPr>
        <w:t xml:space="preserve"> la </w:t>
      </w:r>
      <w:bookmarkStart w:id="1" w:name="_Hlk505169168"/>
      <w:bookmarkEnd w:id="1"/>
      <w:r>
        <w:rPr>
          <w:sz w:val="20"/>
          <w:szCs w:val="20"/>
          <w:lang w:val="x-none" w:eastAsia="ro-RO"/>
        </w:rPr>
        <w:t>sediul administratorului judiciar Siomax SPRL din Târgu-Jiu, str. Unirii, nr. 3, P+E, jud. Gorj, având ordinea de zi:</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“Votarea Planului de reorganizare propus de administratorul special Bădiţa Dan Aurelian”.</w:t>
      </w:r>
    </w:p>
    <w:p w:rsidR="00F87581" w:rsidRPr="00F87581" w:rsidRDefault="00F87581" w:rsidP="00F87581">
      <w:pPr>
        <w:autoSpaceDE w:val="0"/>
        <w:autoSpaceDN w:val="0"/>
        <w:adjustRightInd w:val="0"/>
        <w:jc w:val="both"/>
        <w:rPr>
          <w:sz w:val="20"/>
          <w:szCs w:val="20"/>
          <w:lang w:val="x-none" w:eastAsia="ro-RO"/>
        </w:rPr>
      </w:pPr>
      <w:r>
        <w:rPr>
          <w:sz w:val="20"/>
          <w:szCs w:val="20"/>
          <w:lang w:val="x-none" w:eastAsia="ro-RO"/>
        </w:rPr>
        <w:t xml:space="preserve">Creditorii pot fi reprezentaţi în cadrul adunării prin împuterniciţi, cu procură specială autentică sau, în cazul creditorilor bugetari şi a celorlalte persoane juridice, cu delegaţie semnată de conducătorul unităţii. Creditorii pot vota şi prin corespondenţă. Scrisoarea prin care se exprimă votul, semnată de creditor, sau înscrisul în format electronic, căruia i s-a încorporat, ataşat sau asociat semnătura </w:t>
      </w:r>
      <w:r w:rsidRPr="00F87581">
        <w:rPr>
          <w:sz w:val="20"/>
          <w:szCs w:val="20"/>
          <w:lang w:val="x-none" w:eastAsia="ro-RO"/>
        </w:rPr>
        <w:t>electronică extinsă, bazată pe un certificat valabil, poate fi comunicată prin orice mijloace şi înregistrată la administratorul judiciar până în ziua fixată pentru exprimarea votului.</w:t>
      </w:r>
    </w:p>
    <w:p w:rsidR="00F87581" w:rsidRDefault="00F87581" w:rsidP="00F87581">
      <w:pPr>
        <w:autoSpaceDE w:val="0"/>
        <w:autoSpaceDN w:val="0"/>
        <w:adjustRightInd w:val="0"/>
        <w:jc w:val="both"/>
        <w:rPr>
          <w:sz w:val="20"/>
          <w:szCs w:val="20"/>
          <w:lang w:val="x-none" w:eastAsia="ro-RO"/>
        </w:rPr>
      </w:pPr>
      <w:r w:rsidRPr="00F87581">
        <w:rPr>
          <w:sz w:val="20"/>
          <w:szCs w:val="20"/>
          <w:lang w:val="x-none" w:eastAsia="ro-RO"/>
        </w:rPr>
        <w:t>Planul de reorganizare a fost postat pe site-ul administratorului judiciar www.siomax.ro. a fost postat şi un anunţ cu privire la votarea planului de reorganizare, conform art. 137 alin. (4), din Legea 85/2014 din momentul publicării</w:t>
      </w:r>
      <w:r>
        <w:rPr>
          <w:sz w:val="20"/>
          <w:szCs w:val="20"/>
          <w:lang w:val="x-none" w:eastAsia="ro-RO"/>
        </w:rPr>
        <w:t xml:space="preserve"> prezentului anunţ toate părţile interesate vor fi socotite că au cunoştinţă de plan şi de data de exprimare a votului.</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Planul de reorganizare propus poate fi consultat de orice persoană interesată la sediul arhivei Tribunalului Ilfov şi sediul administratorului judiciar din Tg-Jiu, str. Unirii, nr. 3, P+E, jud. Gorj, pe cheltuiala solicitantului.</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Pentru informaţii suplimentare vă puteţi adresa administratorului judiciar.</w:t>
      </w:r>
    </w:p>
    <w:p w:rsidR="00F87581" w:rsidRDefault="00F87581" w:rsidP="00F87581">
      <w:pPr>
        <w:autoSpaceDE w:val="0"/>
        <w:autoSpaceDN w:val="0"/>
        <w:adjustRightInd w:val="0"/>
        <w:jc w:val="both"/>
        <w:rPr>
          <w:sz w:val="20"/>
          <w:szCs w:val="20"/>
          <w:lang w:val="x-none" w:eastAsia="ro-RO"/>
        </w:rPr>
      </w:pPr>
      <w:r>
        <w:rPr>
          <w:sz w:val="20"/>
          <w:szCs w:val="20"/>
          <w:lang w:val="x-none" w:eastAsia="ro-RO"/>
        </w:rPr>
        <w:t xml:space="preserve">                 Administrator judiciar Siomax SPRL prin practician în insolvenţă Joe Simona.</w:t>
      </w:r>
    </w:p>
    <w:p w:rsidR="00F87581" w:rsidRDefault="00F87581" w:rsidP="00F87581">
      <w:pPr>
        <w:autoSpaceDE w:val="0"/>
        <w:autoSpaceDN w:val="0"/>
        <w:adjustRightInd w:val="0"/>
        <w:rPr>
          <w:sz w:val="20"/>
          <w:szCs w:val="20"/>
          <w:lang w:val="x-none" w:eastAsia="ro-RO"/>
        </w:rPr>
      </w:pPr>
      <w:r>
        <w:rPr>
          <w:sz w:val="20"/>
          <w:szCs w:val="20"/>
          <w:lang w:val="x-none" w:eastAsia="ro-RO"/>
        </w:rPr>
        <w:t>Lista anexă</w:t>
      </w:r>
    </w:p>
    <w:tbl>
      <w:tblPr>
        <w:tblW w:w="9285" w:type="dxa"/>
        <w:tblInd w:w="285" w:type="dxa"/>
        <w:tblLayout w:type="fixed"/>
        <w:tblCellMar>
          <w:left w:w="105" w:type="dxa"/>
          <w:right w:w="105" w:type="dxa"/>
        </w:tblCellMar>
        <w:tblLook w:val="0000" w:firstRow="0" w:lastRow="0" w:firstColumn="0" w:lastColumn="0" w:noHBand="0" w:noVBand="0"/>
      </w:tblPr>
      <w:tblGrid>
        <w:gridCol w:w="541"/>
        <w:gridCol w:w="3606"/>
        <w:gridCol w:w="5138"/>
      </w:tblGrid>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Nr.</w:t>
            </w:r>
          </w:p>
          <w:p w:rsidR="00F87581" w:rsidRDefault="00F87581">
            <w:pPr>
              <w:autoSpaceDE w:val="0"/>
              <w:autoSpaceDN w:val="0"/>
              <w:adjustRightInd w:val="0"/>
              <w:jc w:val="center"/>
              <w:rPr>
                <w:sz w:val="20"/>
                <w:szCs w:val="20"/>
                <w:lang w:val="x-none" w:eastAsia="ro-RO"/>
              </w:rPr>
            </w:pPr>
            <w:r>
              <w:rPr>
                <w:sz w:val="20"/>
                <w:szCs w:val="20"/>
                <w:lang w:val="x-none" w:eastAsia="ro-RO"/>
              </w:rPr>
              <w:t>crt.</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Nume şi  Prenume/Denumire</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Domiciliu /sediu social</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1</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Consiliul Local al Municipiului Tg-Jiu-Directia Publică de Venituri</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Tg-Jiu, B-dul Republicii, bl. 25, parter. Jud. Gorj</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2</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Angheloiu Gheorghe</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România</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3</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Bădiţa Dan Aurelian</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România</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4</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D.G.R.F.P. Bucureşti - Administraţia Fiscală pentru Contribuabili Mijlocii Bucureşti</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 xml:space="preserve">Bucureşti, Sector 2, str. Speranţei, nr. 40. </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5</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Instituţia Primarului Oraşului Voluntari</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Bucureşti, B-dul Voluntari, nr. 74, oraş Voluntari, Jud. Ilfov.</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6</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Oraşul Rovinari</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Rovinari, str. Florilor, nr.2, jud. Gorj</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7</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U.A.T. a Comunei Fărcăşeşti</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Com. Fărcăşeşti, jud. Gorj</w:t>
            </w:r>
          </w:p>
        </w:tc>
      </w:tr>
      <w:tr w:rsidR="00F87581">
        <w:trPr>
          <w:trHeight w:val="15"/>
        </w:trPr>
        <w:tc>
          <w:tcPr>
            <w:tcW w:w="54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jc w:val="center"/>
              <w:rPr>
                <w:sz w:val="20"/>
                <w:szCs w:val="20"/>
                <w:lang w:val="x-none" w:eastAsia="ro-RO"/>
              </w:rPr>
            </w:pPr>
            <w:r>
              <w:rPr>
                <w:sz w:val="20"/>
                <w:szCs w:val="20"/>
                <w:lang w:val="x-none" w:eastAsia="ro-RO"/>
              </w:rPr>
              <w:t>8</w:t>
            </w:r>
          </w:p>
        </w:tc>
        <w:tc>
          <w:tcPr>
            <w:tcW w:w="360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S.C. CEZ Vanzare SA</w:t>
            </w:r>
          </w:p>
        </w:tc>
        <w:tc>
          <w:tcPr>
            <w:tcW w:w="5130" w:type="dxa"/>
            <w:tcBorders>
              <w:top w:val="single" w:sz="6" w:space="0" w:color="000000"/>
              <w:left w:val="single" w:sz="6" w:space="0" w:color="000000"/>
              <w:bottom w:val="single" w:sz="6" w:space="0" w:color="000000"/>
              <w:right w:val="single" w:sz="6" w:space="0" w:color="000000"/>
            </w:tcBorders>
          </w:tcPr>
          <w:p w:rsidR="00F87581" w:rsidRDefault="00F87581">
            <w:pPr>
              <w:autoSpaceDE w:val="0"/>
              <w:autoSpaceDN w:val="0"/>
              <w:adjustRightInd w:val="0"/>
              <w:rPr>
                <w:sz w:val="20"/>
                <w:szCs w:val="20"/>
                <w:lang w:val="x-none" w:eastAsia="ro-RO"/>
              </w:rPr>
            </w:pPr>
            <w:r>
              <w:rPr>
                <w:sz w:val="20"/>
                <w:szCs w:val="20"/>
                <w:lang w:val="x-none" w:eastAsia="ro-RO"/>
              </w:rPr>
              <w:t>Craiova, str. Brestei, nr.2, Jud. Dolj</w:t>
            </w:r>
          </w:p>
        </w:tc>
      </w:tr>
    </w:tbl>
    <w:p w:rsidR="00F87581" w:rsidRDefault="00F87581" w:rsidP="00F87581">
      <w:pPr>
        <w:autoSpaceDE w:val="0"/>
        <w:autoSpaceDN w:val="0"/>
        <w:adjustRightInd w:val="0"/>
        <w:jc w:val="center"/>
        <w:rPr>
          <w:sz w:val="20"/>
          <w:szCs w:val="20"/>
          <w:lang w:val="x-none" w:eastAsia="ro-RO"/>
        </w:rPr>
      </w:pPr>
      <w:r>
        <w:rPr>
          <w:sz w:val="20"/>
          <w:szCs w:val="20"/>
          <w:lang w:val="x-none" w:eastAsia="ro-RO"/>
        </w:rPr>
        <w:t>Administrator judiciar: Siomax SPRL prin practician în insolvenţă Joe Simona.</w:t>
      </w:r>
    </w:p>
    <w:p w:rsidR="00313F01" w:rsidRPr="00FA51C1" w:rsidRDefault="00313F01" w:rsidP="00313F01">
      <w:pPr>
        <w:jc w:val="center"/>
        <w:rPr>
          <w:sz w:val="20"/>
          <w:szCs w:val="20"/>
          <w:lang w:val="ro-RO"/>
        </w:rPr>
      </w:pPr>
    </w:p>
    <w:sectPr w:rsidR="00313F01" w:rsidRPr="00FA51C1" w:rsidSect="00CA5B66">
      <w:headerReference w:type="even" r:id="rId7"/>
      <w:headerReference w:type="default" r:id="rId8"/>
      <w:footerReference w:type="even" r:id="rId9"/>
      <w:footerReference w:type="default" r:id="rId10"/>
      <w:footerReference w:type="first" r:id="rId11"/>
      <w:footnotePr>
        <w:numFmt w:val="chicago"/>
      </w:footnotePr>
      <w:pgSz w:w="11909" w:h="16834" w:code="9"/>
      <w:pgMar w:top="720" w:right="864" w:bottom="720" w:left="1008" w:header="706" w:footer="4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C5" w:rsidRDefault="00FD0AC5">
      <w:r>
        <w:separator/>
      </w:r>
    </w:p>
  </w:endnote>
  <w:endnote w:type="continuationSeparator" w:id="0">
    <w:p w:rsidR="00FD0AC5" w:rsidRDefault="00FD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EE"/>
    <w:family w:val="roman"/>
    <w:pitch w:val="variable"/>
    <w:sig w:usb0="20007A87" w:usb1="80000000" w:usb2="00000008"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98" w:rsidRDefault="00B01F98" w:rsidP="00B01F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F98" w:rsidRDefault="00B01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98" w:rsidRPr="00B01F98" w:rsidRDefault="00B01F98" w:rsidP="00B01F98">
    <w:pPr>
      <w:pStyle w:val="Footer"/>
      <w:framePr w:wrap="around" w:vAnchor="text" w:hAnchor="margin" w:xAlign="center" w:y="1"/>
      <w:rPr>
        <w:rStyle w:val="PageNumber"/>
        <w:sz w:val="20"/>
        <w:szCs w:val="20"/>
      </w:rPr>
    </w:pPr>
    <w:r w:rsidRPr="00B01F98">
      <w:rPr>
        <w:rStyle w:val="PageNumber"/>
        <w:sz w:val="20"/>
        <w:szCs w:val="20"/>
      </w:rPr>
      <w:t xml:space="preserve">- </w:t>
    </w:r>
    <w:r w:rsidRPr="00B01F98">
      <w:rPr>
        <w:rStyle w:val="PageNumber"/>
        <w:sz w:val="20"/>
        <w:szCs w:val="20"/>
      </w:rPr>
      <w:fldChar w:fldCharType="begin"/>
    </w:r>
    <w:r w:rsidRPr="00B01F98">
      <w:rPr>
        <w:rStyle w:val="PageNumber"/>
        <w:sz w:val="20"/>
        <w:szCs w:val="20"/>
      </w:rPr>
      <w:instrText xml:space="preserve">PAGE  </w:instrText>
    </w:r>
    <w:r w:rsidRPr="00B01F98">
      <w:rPr>
        <w:rStyle w:val="PageNumber"/>
        <w:sz w:val="20"/>
        <w:szCs w:val="20"/>
      </w:rPr>
      <w:fldChar w:fldCharType="separate"/>
    </w:r>
    <w:r w:rsidR="00212A2D">
      <w:rPr>
        <w:rStyle w:val="PageNumber"/>
        <w:noProof/>
        <w:sz w:val="20"/>
        <w:szCs w:val="20"/>
      </w:rPr>
      <w:t>2</w:t>
    </w:r>
    <w:r w:rsidRPr="00B01F98">
      <w:rPr>
        <w:rStyle w:val="PageNumber"/>
        <w:sz w:val="20"/>
        <w:szCs w:val="20"/>
      </w:rPr>
      <w:fldChar w:fldCharType="end"/>
    </w:r>
    <w:r w:rsidRPr="00B01F98">
      <w:rPr>
        <w:rStyle w:val="PageNumber"/>
        <w:sz w:val="20"/>
        <w:szCs w:val="20"/>
      </w:rPr>
      <w:t xml:space="preserve"> -</w:t>
    </w:r>
  </w:p>
  <w:p w:rsidR="00B90DF8" w:rsidRPr="001E589C" w:rsidRDefault="00B90DF8" w:rsidP="001E589C">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F8" w:rsidRPr="00B01F98" w:rsidRDefault="00B90DF8" w:rsidP="00B01F98">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C5" w:rsidRDefault="00FD0AC5">
      <w:r>
        <w:separator/>
      </w:r>
    </w:p>
  </w:footnote>
  <w:footnote w:type="continuationSeparator" w:id="0">
    <w:p w:rsidR="00FD0AC5" w:rsidRDefault="00FD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F8" w:rsidRDefault="00FD0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65pt;height:212.25pt;rotation:315;z-index:-251658752;mso-position-horizontal:center;mso-position-horizontal-relative:margin;mso-position-vertical:center;mso-position-vertical-relative:margin" wrapcoords="20288 3969 19342 2290 18915 1755 18824 1984 18641 1832 18214 1832 17908 2061 17634 2290 17481 2519 17237 2900 16902 3740 16688 5266 16566 6717 16078 7175 15742 7251 15712 7938 16597 10228 16566 11907 14095 7327 13851 7098 13271 6869 12539 6946 11990 7251 11593 8014 10464 6946 9824 7022 9427 7861 9061 7022 8634 6717 8481 7175 7963 7633 5827 3893 5369 3435 4729 2748 3905 2671 183 2671 244 2977 1129 6106 1129 14654 976 16028 458 16486 214 16486 183 16715 275 16868 3417 17020 4637 16563 5095 16181 5125 16105 5644 15570 6071 14960 6407 14120 7383 16563 7993 17555 8237 16944 9915 16868 9824 16486 9092 13891 9092 10457 11288 15952 12203 17784 12478 17173 12966 16715 13393 16028 13668 16715 14339 17249 14461 17020 14980 16486 15834 16944 18458 16868 18488 16715 17451 12365 17451 10609 19617 16028 20410 17631 20685 17020 21081 16639 21661 15418 21539 14883 20380 11067 20380 9312 20502 7861 21569 7785 21478 7175 20380 4198 20288 396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DF8" w:rsidRPr="00A46E25" w:rsidRDefault="00B90DF8" w:rsidP="00A46E25">
    <w:pPr>
      <w:jc w:val="center"/>
      <w:rPr>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D64104A"/>
    <w:lvl w:ilvl="0">
      <w:start w:val="1"/>
      <w:numFmt w:val="decimal"/>
      <w:lvlText w:val="%1."/>
      <w:lvlJc w:val="left"/>
      <w:pPr>
        <w:tabs>
          <w:tab w:val="num" w:pos="720"/>
        </w:tabs>
        <w:ind w:left="720" w:hanging="360"/>
      </w:pPr>
    </w:lvl>
  </w:abstractNum>
  <w:abstractNum w:abstractNumId="1">
    <w:nsid w:val="0AC83C5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nsid w:val="0ADC5346"/>
    <w:multiLevelType w:val="singleLevel"/>
    <w:tmpl w:val="D994AEB0"/>
    <w:lvl w:ilvl="0">
      <w:start w:val="1"/>
      <w:numFmt w:val="bullet"/>
      <w:lvlText w:val=""/>
      <w:lvlJc w:val="left"/>
      <w:pPr>
        <w:tabs>
          <w:tab w:val="num" w:pos="360"/>
        </w:tabs>
        <w:ind w:left="360" w:hanging="360"/>
      </w:pPr>
      <w:rPr>
        <w:rFonts w:ascii="Symbol" w:hAnsi="Symbol" w:hint="default"/>
      </w:rPr>
    </w:lvl>
  </w:abstractNum>
  <w:abstractNum w:abstractNumId="3">
    <w:nsid w:val="0BDB723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
    <w:nsid w:val="19673E31"/>
    <w:multiLevelType w:val="singleLevel"/>
    <w:tmpl w:val="CE96DFFE"/>
    <w:lvl w:ilvl="0">
      <w:start w:val="1"/>
      <w:numFmt w:val="bullet"/>
      <w:lvlText w:val="-"/>
      <w:lvlJc w:val="left"/>
      <w:pPr>
        <w:tabs>
          <w:tab w:val="num" w:pos="1080"/>
        </w:tabs>
        <w:ind w:left="1080" w:hanging="360"/>
      </w:pPr>
      <w:rPr>
        <w:rFonts w:hint="default"/>
      </w:rPr>
    </w:lvl>
  </w:abstractNum>
  <w:abstractNum w:abstractNumId="5">
    <w:nsid w:val="2D09794F"/>
    <w:multiLevelType w:val="multilevel"/>
    <w:tmpl w:val="BAE43BE8"/>
    <w:lvl w:ilvl="0">
      <w:start w:val="1"/>
      <w:numFmt w:val="lowerRoman"/>
      <w:pStyle w:val="ListNumber2"/>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67C7BBC"/>
    <w:multiLevelType w:val="hybridMultilevel"/>
    <w:tmpl w:val="044AE6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FE15DA"/>
    <w:multiLevelType w:val="hybridMultilevel"/>
    <w:tmpl w:val="FEF0D2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52C1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554B5E6D"/>
    <w:multiLevelType w:val="hybridMultilevel"/>
    <w:tmpl w:val="CCBE1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C014B9"/>
    <w:multiLevelType w:val="hybridMultilevel"/>
    <w:tmpl w:val="7B0E69D0"/>
    <w:lvl w:ilvl="0" w:tplc="56E403BE">
      <w:start w:val="1"/>
      <w:numFmt w:val="decimal"/>
      <w:lvlText w:val="%1"/>
      <w:lvlJc w:val="right"/>
      <w:pPr>
        <w:tabs>
          <w:tab w:val="num" w:pos="723"/>
        </w:tabs>
        <w:ind w:left="680" w:hanging="340"/>
      </w:pPr>
      <w:rPr>
        <w:rFonts w:ascii="Times New (W1)" w:hAnsi="Times New (W1)"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6F5230"/>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8"/>
  </w:num>
  <w:num w:numId="3">
    <w:abstractNumId w:val="3"/>
  </w:num>
  <w:num w:numId="4">
    <w:abstractNumId w:val="11"/>
  </w:num>
  <w:num w:numId="5">
    <w:abstractNumId w:val="4"/>
  </w:num>
  <w:num w:numId="6">
    <w:abstractNumId w:val="1"/>
  </w:num>
  <w:num w:numId="7">
    <w:abstractNumId w:val="1"/>
  </w:num>
  <w:num w:numId="8">
    <w:abstractNumId w:val="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32"/>
    <w:rsid w:val="000065DE"/>
    <w:rsid w:val="00014EF6"/>
    <w:rsid w:val="0001591E"/>
    <w:rsid w:val="00027341"/>
    <w:rsid w:val="0003543B"/>
    <w:rsid w:val="000366F5"/>
    <w:rsid w:val="000568D0"/>
    <w:rsid w:val="00057AF1"/>
    <w:rsid w:val="00076DC9"/>
    <w:rsid w:val="000B5DC4"/>
    <w:rsid w:val="000C1A3A"/>
    <w:rsid w:val="000E1E7E"/>
    <w:rsid w:val="000F1749"/>
    <w:rsid w:val="000F5147"/>
    <w:rsid w:val="00102AAE"/>
    <w:rsid w:val="00113020"/>
    <w:rsid w:val="00125EFA"/>
    <w:rsid w:val="00141B54"/>
    <w:rsid w:val="001460C4"/>
    <w:rsid w:val="00152DC0"/>
    <w:rsid w:val="00152F3B"/>
    <w:rsid w:val="00154963"/>
    <w:rsid w:val="00161818"/>
    <w:rsid w:val="001628E3"/>
    <w:rsid w:val="0016429D"/>
    <w:rsid w:val="00164D2F"/>
    <w:rsid w:val="00173B42"/>
    <w:rsid w:val="00175B98"/>
    <w:rsid w:val="0018241A"/>
    <w:rsid w:val="001908BA"/>
    <w:rsid w:val="001A3FC6"/>
    <w:rsid w:val="001B1E5D"/>
    <w:rsid w:val="001B33C2"/>
    <w:rsid w:val="001C1533"/>
    <w:rsid w:val="001C2C7B"/>
    <w:rsid w:val="001D55D5"/>
    <w:rsid w:val="001E1F18"/>
    <w:rsid w:val="001E589C"/>
    <w:rsid w:val="001F1C75"/>
    <w:rsid w:val="001F7B02"/>
    <w:rsid w:val="00212A2D"/>
    <w:rsid w:val="002838EA"/>
    <w:rsid w:val="002909DD"/>
    <w:rsid w:val="00297788"/>
    <w:rsid w:val="002B06C0"/>
    <w:rsid w:val="002E755C"/>
    <w:rsid w:val="002F1AFA"/>
    <w:rsid w:val="002F2226"/>
    <w:rsid w:val="002F65C2"/>
    <w:rsid w:val="00307652"/>
    <w:rsid w:val="00313F01"/>
    <w:rsid w:val="00314EDE"/>
    <w:rsid w:val="00320F70"/>
    <w:rsid w:val="00340DC2"/>
    <w:rsid w:val="00350B5B"/>
    <w:rsid w:val="00352AB5"/>
    <w:rsid w:val="00353E3D"/>
    <w:rsid w:val="00382572"/>
    <w:rsid w:val="00385EB3"/>
    <w:rsid w:val="00387A4C"/>
    <w:rsid w:val="00390C02"/>
    <w:rsid w:val="00394672"/>
    <w:rsid w:val="00394859"/>
    <w:rsid w:val="003A12B1"/>
    <w:rsid w:val="003A7D77"/>
    <w:rsid w:val="003B1131"/>
    <w:rsid w:val="003C1BD7"/>
    <w:rsid w:val="003E0E0F"/>
    <w:rsid w:val="003E2C90"/>
    <w:rsid w:val="003E3776"/>
    <w:rsid w:val="003F0B8F"/>
    <w:rsid w:val="003F6FD6"/>
    <w:rsid w:val="00424B1E"/>
    <w:rsid w:val="00440B86"/>
    <w:rsid w:val="004429DF"/>
    <w:rsid w:val="00476E21"/>
    <w:rsid w:val="00487485"/>
    <w:rsid w:val="0049359C"/>
    <w:rsid w:val="00496C53"/>
    <w:rsid w:val="004A03F3"/>
    <w:rsid w:val="004A6613"/>
    <w:rsid w:val="004A66D3"/>
    <w:rsid w:val="004A67F2"/>
    <w:rsid w:val="004B074A"/>
    <w:rsid w:val="004B146D"/>
    <w:rsid w:val="004B2E32"/>
    <w:rsid w:val="004D2341"/>
    <w:rsid w:val="004D2EF6"/>
    <w:rsid w:val="004D769C"/>
    <w:rsid w:val="004E360C"/>
    <w:rsid w:val="004E6393"/>
    <w:rsid w:val="004F1359"/>
    <w:rsid w:val="00510782"/>
    <w:rsid w:val="005125BB"/>
    <w:rsid w:val="00515A48"/>
    <w:rsid w:val="0052484A"/>
    <w:rsid w:val="0053499B"/>
    <w:rsid w:val="005547F0"/>
    <w:rsid w:val="005579BD"/>
    <w:rsid w:val="0056057C"/>
    <w:rsid w:val="005618EC"/>
    <w:rsid w:val="00573A15"/>
    <w:rsid w:val="0059117D"/>
    <w:rsid w:val="00591224"/>
    <w:rsid w:val="00594AD9"/>
    <w:rsid w:val="005A6C4E"/>
    <w:rsid w:val="005A7E26"/>
    <w:rsid w:val="005B1DF6"/>
    <w:rsid w:val="005B7872"/>
    <w:rsid w:val="005B7D77"/>
    <w:rsid w:val="005D2F8B"/>
    <w:rsid w:val="005E2095"/>
    <w:rsid w:val="005E54FE"/>
    <w:rsid w:val="005F1D95"/>
    <w:rsid w:val="005F72B0"/>
    <w:rsid w:val="0062034A"/>
    <w:rsid w:val="0062217D"/>
    <w:rsid w:val="006248CB"/>
    <w:rsid w:val="0064401C"/>
    <w:rsid w:val="00644D03"/>
    <w:rsid w:val="00651D66"/>
    <w:rsid w:val="006529CF"/>
    <w:rsid w:val="00655755"/>
    <w:rsid w:val="00656D30"/>
    <w:rsid w:val="00661C4D"/>
    <w:rsid w:val="00662BBE"/>
    <w:rsid w:val="00683AE3"/>
    <w:rsid w:val="00692006"/>
    <w:rsid w:val="00695B8E"/>
    <w:rsid w:val="006B7A99"/>
    <w:rsid w:val="006D7D52"/>
    <w:rsid w:val="006F3ED3"/>
    <w:rsid w:val="006F74F2"/>
    <w:rsid w:val="0070365A"/>
    <w:rsid w:val="007111CC"/>
    <w:rsid w:val="007130D3"/>
    <w:rsid w:val="007130E4"/>
    <w:rsid w:val="0071494D"/>
    <w:rsid w:val="007223B0"/>
    <w:rsid w:val="00724D64"/>
    <w:rsid w:val="00730532"/>
    <w:rsid w:val="0073064A"/>
    <w:rsid w:val="0075120E"/>
    <w:rsid w:val="00760AAE"/>
    <w:rsid w:val="00766502"/>
    <w:rsid w:val="007808D7"/>
    <w:rsid w:val="00786ECB"/>
    <w:rsid w:val="007A1F39"/>
    <w:rsid w:val="007C1AE5"/>
    <w:rsid w:val="007C6E6E"/>
    <w:rsid w:val="007C77ED"/>
    <w:rsid w:val="007D455F"/>
    <w:rsid w:val="007D6209"/>
    <w:rsid w:val="007D755B"/>
    <w:rsid w:val="007D7D78"/>
    <w:rsid w:val="007F71CC"/>
    <w:rsid w:val="007F7DC4"/>
    <w:rsid w:val="00800801"/>
    <w:rsid w:val="00803718"/>
    <w:rsid w:val="008126FB"/>
    <w:rsid w:val="00852D4D"/>
    <w:rsid w:val="00855F2F"/>
    <w:rsid w:val="00866BF5"/>
    <w:rsid w:val="00880585"/>
    <w:rsid w:val="00892144"/>
    <w:rsid w:val="00895AFA"/>
    <w:rsid w:val="008A022D"/>
    <w:rsid w:val="008A7061"/>
    <w:rsid w:val="008C0214"/>
    <w:rsid w:val="008D20E7"/>
    <w:rsid w:val="008E025B"/>
    <w:rsid w:val="008E7E58"/>
    <w:rsid w:val="00903CB8"/>
    <w:rsid w:val="00906278"/>
    <w:rsid w:val="00911370"/>
    <w:rsid w:val="00912780"/>
    <w:rsid w:val="00932816"/>
    <w:rsid w:val="009330B2"/>
    <w:rsid w:val="0093334E"/>
    <w:rsid w:val="0094120D"/>
    <w:rsid w:val="00951A7E"/>
    <w:rsid w:val="00966CC0"/>
    <w:rsid w:val="00984224"/>
    <w:rsid w:val="00990784"/>
    <w:rsid w:val="0099213F"/>
    <w:rsid w:val="009A5DF1"/>
    <w:rsid w:val="009C0EB0"/>
    <w:rsid w:val="009D3EB8"/>
    <w:rsid w:val="009D4A1E"/>
    <w:rsid w:val="009E445A"/>
    <w:rsid w:val="009E4977"/>
    <w:rsid w:val="009E591A"/>
    <w:rsid w:val="00A0036A"/>
    <w:rsid w:val="00A02A25"/>
    <w:rsid w:val="00A218EE"/>
    <w:rsid w:val="00A24B8E"/>
    <w:rsid w:val="00A25ACE"/>
    <w:rsid w:val="00A33DD5"/>
    <w:rsid w:val="00A46E25"/>
    <w:rsid w:val="00A5133D"/>
    <w:rsid w:val="00A6091F"/>
    <w:rsid w:val="00A64D6A"/>
    <w:rsid w:val="00A70013"/>
    <w:rsid w:val="00A75E35"/>
    <w:rsid w:val="00A830DD"/>
    <w:rsid w:val="00A91FB8"/>
    <w:rsid w:val="00A96900"/>
    <w:rsid w:val="00AB2D2C"/>
    <w:rsid w:val="00AC2CC1"/>
    <w:rsid w:val="00AE1233"/>
    <w:rsid w:val="00AE346F"/>
    <w:rsid w:val="00B01F98"/>
    <w:rsid w:val="00B10873"/>
    <w:rsid w:val="00B13DE8"/>
    <w:rsid w:val="00B2273E"/>
    <w:rsid w:val="00B2488A"/>
    <w:rsid w:val="00B318CA"/>
    <w:rsid w:val="00B37396"/>
    <w:rsid w:val="00B6590C"/>
    <w:rsid w:val="00B730B4"/>
    <w:rsid w:val="00B738DD"/>
    <w:rsid w:val="00B85F2D"/>
    <w:rsid w:val="00B90DF8"/>
    <w:rsid w:val="00B91932"/>
    <w:rsid w:val="00BA25FD"/>
    <w:rsid w:val="00BA29D1"/>
    <w:rsid w:val="00BB3AE4"/>
    <w:rsid w:val="00BD3DE7"/>
    <w:rsid w:val="00BE040B"/>
    <w:rsid w:val="00BE0E7A"/>
    <w:rsid w:val="00BE4E82"/>
    <w:rsid w:val="00BE63B8"/>
    <w:rsid w:val="00C1716D"/>
    <w:rsid w:val="00C45458"/>
    <w:rsid w:val="00CA5B66"/>
    <w:rsid w:val="00CA7DC5"/>
    <w:rsid w:val="00CB3924"/>
    <w:rsid w:val="00CB6356"/>
    <w:rsid w:val="00CE5F46"/>
    <w:rsid w:val="00CE74F6"/>
    <w:rsid w:val="00CF6E5E"/>
    <w:rsid w:val="00D00AEF"/>
    <w:rsid w:val="00D307F6"/>
    <w:rsid w:val="00D310FB"/>
    <w:rsid w:val="00D3439A"/>
    <w:rsid w:val="00D37264"/>
    <w:rsid w:val="00D5592B"/>
    <w:rsid w:val="00D73303"/>
    <w:rsid w:val="00D76B73"/>
    <w:rsid w:val="00D82272"/>
    <w:rsid w:val="00D91147"/>
    <w:rsid w:val="00DB59BE"/>
    <w:rsid w:val="00DD09F6"/>
    <w:rsid w:val="00DD5283"/>
    <w:rsid w:val="00DE1337"/>
    <w:rsid w:val="00E11123"/>
    <w:rsid w:val="00E17F33"/>
    <w:rsid w:val="00E22FEC"/>
    <w:rsid w:val="00E33CC2"/>
    <w:rsid w:val="00E35212"/>
    <w:rsid w:val="00E51E92"/>
    <w:rsid w:val="00E62B8E"/>
    <w:rsid w:val="00E80D8B"/>
    <w:rsid w:val="00E8389E"/>
    <w:rsid w:val="00E849AF"/>
    <w:rsid w:val="00E8665A"/>
    <w:rsid w:val="00E879BB"/>
    <w:rsid w:val="00E91F77"/>
    <w:rsid w:val="00E950BC"/>
    <w:rsid w:val="00E95BAE"/>
    <w:rsid w:val="00E96943"/>
    <w:rsid w:val="00EA3D97"/>
    <w:rsid w:val="00EB6645"/>
    <w:rsid w:val="00ED3271"/>
    <w:rsid w:val="00F45406"/>
    <w:rsid w:val="00F52306"/>
    <w:rsid w:val="00F52A43"/>
    <w:rsid w:val="00F60042"/>
    <w:rsid w:val="00F61FD2"/>
    <w:rsid w:val="00F64813"/>
    <w:rsid w:val="00F87581"/>
    <w:rsid w:val="00F975E9"/>
    <w:rsid w:val="00F97CF5"/>
    <w:rsid w:val="00FA2B0A"/>
    <w:rsid w:val="00FA3FA6"/>
    <w:rsid w:val="00FA51C1"/>
    <w:rsid w:val="00FA66B4"/>
    <w:rsid w:val="00FB197B"/>
    <w:rsid w:val="00FB5DA8"/>
    <w:rsid w:val="00FB6EE8"/>
    <w:rsid w:val="00FD0AC5"/>
    <w:rsid w:val="00FD17BA"/>
    <w:rsid w:val="00FD2319"/>
    <w:rsid w:val="00FD469B"/>
    <w:rsid w:val="00FE48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DDD3299-1080-400C-8E95-9101838C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80"/>
    <w:rPr>
      <w:sz w:val="24"/>
      <w:szCs w:val="24"/>
      <w:lang w:val="en-US" w:eastAsia="en-US"/>
    </w:rPr>
  </w:style>
  <w:style w:type="paragraph" w:styleId="Heading1">
    <w:name w:val="heading 1"/>
    <w:basedOn w:val="Normal"/>
    <w:next w:val="Normal"/>
    <w:qFormat/>
    <w:pPr>
      <w:keepNext/>
      <w:tabs>
        <w:tab w:val="left" w:pos="1200"/>
      </w:tabs>
      <w:jc w:val="center"/>
      <w:outlineLvl w:val="0"/>
    </w:pPr>
    <w:rPr>
      <w:rFonts w:ascii="Times New Roman Bold" w:hAnsi="Times New Roman Bold"/>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szCs w:val="20"/>
      <w:lang w:val="ro-RO"/>
    </w:rPr>
  </w:style>
  <w:style w:type="paragraph" w:styleId="BodyText">
    <w:name w:val="Body Text"/>
    <w:aliases w:val="Body Text 1,bt"/>
    <w:basedOn w:val="Normal"/>
    <w:pPr>
      <w:spacing w:after="120"/>
    </w:pPr>
  </w:style>
  <w:style w:type="paragraph" w:customStyle="1" w:styleId="BodySingle">
    <w:name w:val="Body Single"/>
    <w:basedOn w:val="BodyText"/>
    <w:pPr>
      <w:spacing w:after="0" w:line="290" w:lineRule="atLeast"/>
    </w:pPr>
    <w:rPr>
      <w:szCs w:val="20"/>
      <w:lang w:val="en-GB"/>
    </w:rPr>
  </w:style>
  <w:style w:type="paragraph" w:styleId="BodyTextIndent2">
    <w:name w:val="Body Text Indent 2"/>
    <w:basedOn w:val="Normal"/>
    <w:pPr>
      <w:spacing w:after="120" w:line="480" w:lineRule="auto"/>
      <w:ind w:left="283"/>
    </w:pPr>
  </w:style>
  <w:style w:type="character" w:styleId="PageNumber">
    <w:name w:val="page number"/>
    <w:basedOn w:val="DefaultParagraphFont"/>
  </w:style>
  <w:style w:type="paragraph" w:styleId="ListNumber2">
    <w:name w:val="List Number 2"/>
    <w:basedOn w:val="Normal"/>
    <w:pPr>
      <w:numPr>
        <w:numId w:val="9"/>
      </w:numPr>
    </w:pPr>
    <w:rPr>
      <w:sz w:val="22"/>
      <w:szCs w:val="22"/>
    </w:rPr>
  </w:style>
  <w:style w:type="paragraph" w:styleId="CommentText">
    <w:name w:val="annotation text"/>
    <w:basedOn w:val="Normal"/>
    <w:semiHidden/>
    <w:rsid w:val="008C0214"/>
    <w:rPr>
      <w:sz w:val="20"/>
      <w:szCs w:val="20"/>
    </w:rPr>
  </w:style>
  <w:style w:type="paragraph" w:customStyle="1" w:styleId="WW-BodyText2">
    <w:name w:val="WW-Body Text 2"/>
    <w:basedOn w:val="Normal"/>
    <w:rsid w:val="00912780"/>
    <w:pPr>
      <w:suppressAutoHyphens/>
      <w:jc w:val="both"/>
    </w:pPr>
    <w:rPr>
      <w:lang w:eastAsia="ar-SA"/>
    </w:rPr>
  </w:style>
  <w:style w:type="paragraph" w:styleId="FootnoteText">
    <w:name w:val="footnote text"/>
    <w:basedOn w:val="Normal"/>
    <w:semiHidden/>
    <w:rsid w:val="00BE0E7A"/>
    <w:rPr>
      <w:sz w:val="20"/>
      <w:szCs w:val="20"/>
    </w:rPr>
  </w:style>
  <w:style w:type="character" w:styleId="FootnoteReference">
    <w:name w:val="footnote reference"/>
    <w:semiHidden/>
    <w:rsid w:val="00BE0E7A"/>
    <w:rPr>
      <w:vertAlign w:val="superscript"/>
    </w:rPr>
  </w:style>
  <w:style w:type="table" w:styleId="TableGrid">
    <w:name w:val="Table Grid"/>
    <w:basedOn w:val="TableNormal"/>
    <w:rsid w:val="008A70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08BA"/>
    <w:rPr>
      <w:rFonts w:ascii="Tahoma" w:hAnsi="Tahoma" w:cs="Tahoma"/>
      <w:sz w:val="16"/>
      <w:szCs w:val="16"/>
    </w:rPr>
  </w:style>
  <w:style w:type="character" w:styleId="Hyperlink">
    <w:name w:val="Hyperlink"/>
    <w:rsid w:val="0053499B"/>
    <w:rPr>
      <w:rFonts w:cs="Times New Roman"/>
      <w:color w:val="0000FF"/>
      <w:u w:val="single"/>
    </w:rPr>
  </w:style>
  <w:style w:type="paragraph" w:customStyle="1" w:styleId="Char">
    <w:name w:val="Char"/>
    <w:basedOn w:val="Normal"/>
    <w:rsid w:val="00BE63B8"/>
    <w:rPr>
      <w:lang w:val="pl-PL" w:eastAsia="pl-PL"/>
    </w:rPr>
  </w:style>
  <w:style w:type="character" w:styleId="Strong">
    <w:name w:val="Strong"/>
    <w:qFormat/>
    <w:rsid w:val="00A02A25"/>
    <w:rPr>
      <w:b/>
      <w:bCs/>
    </w:rPr>
  </w:style>
  <w:style w:type="character" w:customStyle="1" w:styleId="st">
    <w:name w:val="st"/>
    <w:basedOn w:val="DefaultParagraphFont"/>
    <w:rsid w:val="00A02A25"/>
  </w:style>
  <w:style w:type="character" w:customStyle="1" w:styleId="kno-fb-ctx">
    <w:name w:val="kno-fb-ctx"/>
    <w:basedOn w:val="DefaultParagraphFont"/>
    <w:rsid w:val="00A02A25"/>
  </w:style>
  <w:style w:type="paragraph" w:customStyle="1" w:styleId="CaracterCaracter">
    <w:name w:val="Caracter Caracter"/>
    <w:basedOn w:val="Normal"/>
    <w:rsid w:val="00692006"/>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1599">
      <w:bodyDiv w:val="1"/>
      <w:marLeft w:val="0"/>
      <w:marRight w:val="0"/>
      <w:marTop w:val="0"/>
      <w:marBottom w:val="0"/>
      <w:divBdr>
        <w:top w:val="none" w:sz="0" w:space="0" w:color="auto"/>
        <w:left w:val="none" w:sz="0" w:space="0" w:color="auto"/>
        <w:bottom w:val="none" w:sz="0" w:space="0" w:color="auto"/>
        <w:right w:val="none" w:sz="0" w:space="0" w:color="auto"/>
      </w:divBdr>
    </w:div>
    <w:div w:id="957300177">
      <w:bodyDiv w:val="1"/>
      <w:marLeft w:val="0"/>
      <w:marRight w:val="0"/>
      <w:marTop w:val="0"/>
      <w:marBottom w:val="0"/>
      <w:divBdr>
        <w:top w:val="none" w:sz="0" w:space="0" w:color="auto"/>
        <w:left w:val="none" w:sz="0" w:space="0" w:color="auto"/>
        <w:bottom w:val="none" w:sz="0" w:space="0" w:color="auto"/>
        <w:right w:val="none" w:sz="0" w:space="0" w:color="auto"/>
      </w:divBdr>
    </w:div>
    <w:div w:id="1383596175">
      <w:bodyDiv w:val="1"/>
      <w:marLeft w:val="0"/>
      <w:marRight w:val="0"/>
      <w:marTop w:val="0"/>
      <w:marBottom w:val="0"/>
      <w:divBdr>
        <w:top w:val="none" w:sz="0" w:space="0" w:color="auto"/>
        <w:left w:val="none" w:sz="0" w:space="0" w:color="auto"/>
        <w:bottom w:val="none" w:sz="0" w:space="0" w:color="auto"/>
        <w:right w:val="none" w:sz="0" w:space="0" w:color="auto"/>
      </w:divBdr>
      <w:divsChild>
        <w:div w:id="66998430">
          <w:marLeft w:val="0"/>
          <w:marRight w:val="0"/>
          <w:marTop w:val="0"/>
          <w:marBottom w:val="0"/>
          <w:divBdr>
            <w:top w:val="none" w:sz="0" w:space="0" w:color="auto"/>
            <w:left w:val="none" w:sz="0" w:space="0" w:color="auto"/>
            <w:bottom w:val="none" w:sz="0" w:space="0" w:color="auto"/>
            <w:right w:val="none" w:sz="0" w:space="0" w:color="auto"/>
          </w:divBdr>
        </w:div>
        <w:div w:id="567770620">
          <w:marLeft w:val="0"/>
          <w:marRight w:val="0"/>
          <w:marTop w:val="0"/>
          <w:marBottom w:val="0"/>
          <w:divBdr>
            <w:top w:val="none" w:sz="0" w:space="0" w:color="auto"/>
            <w:left w:val="none" w:sz="0" w:space="0" w:color="auto"/>
            <w:bottom w:val="none" w:sz="0" w:space="0" w:color="auto"/>
            <w:right w:val="none" w:sz="0" w:space="0" w:color="auto"/>
          </w:divBdr>
        </w:div>
        <w:div w:id="924218045">
          <w:marLeft w:val="0"/>
          <w:marRight w:val="0"/>
          <w:marTop w:val="0"/>
          <w:marBottom w:val="0"/>
          <w:divBdr>
            <w:top w:val="none" w:sz="0" w:space="0" w:color="auto"/>
            <w:left w:val="none" w:sz="0" w:space="0" w:color="auto"/>
            <w:bottom w:val="none" w:sz="0" w:space="0" w:color="auto"/>
            <w:right w:val="none" w:sz="0" w:space="0" w:color="auto"/>
          </w:divBdr>
        </w:div>
        <w:div w:id="1473058085">
          <w:marLeft w:val="0"/>
          <w:marRight w:val="0"/>
          <w:marTop w:val="0"/>
          <w:marBottom w:val="0"/>
          <w:divBdr>
            <w:top w:val="none" w:sz="0" w:space="0" w:color="auto"/>
            <w:left w:val="none" w:sz="0" w:space="0" w:color="auto"/>
            <w:bottom w:val="none" w:sz="0" w:space="0" w:color="auto"/>
            <w:right w:val="none" w:sz="0" w:space="0" w:color="auto"/>
          </w:divBdr>
        </w:div>
        <w:div w:id="1550216561">
          <w:marLeft w:val="0"/>
          <w:marRight w:val="0"/>
          <w:marTop w:val="0"/>
          <w:marBottom w:val="0"/>
          <w:divBdr>
            <w:top w:val="none" w:sz="0" w:space="0" w:color="auto"/>
            <w:left w:val="none" w:sz="0" w:space="0" w:color="auto"/>
            <w:bottom w:val="none" w:sz="0" w:space="0" w:color="auto"/>
            <w:right w:val="none" w:sz="0" w:space="0" w:color="auto"/>
          </w:divBdr>
        </w:div>
        <w:div w:id="1784499134">
          <w:marLeft w:val="0"/>
          <w:marRight w:val="0"/>
          <w:marTop w:val="0"/>
          <w:marBottom w:val="0"/>
          <w:divBdr>
            <w:top w:val="none" w:sz="0" w:space="0" w:color="auto"/>
            <w:left w:val="none" w:sz="0" w:space="0" w:color="auto"/>
            <w:bottom w:val="none" w:sz="0" w:space="0" w:color="auto"/>
            <w:right w:val="none" w:sz="0" w:space="0" w:color="auto"/>
          </w:divBdr>
        </w:div>
        <w:div w:id="1900746616">
          <w:marLeft w:val="0"/>
          <w:marRight w:val="0"/>
          <w:marTop w:val="0"/>
          <w:marBottom w:val="0"/>
          <w:divBdr>
            <w:top w:val="none" w:sz="0" w:space="0" w:color="auto"/>
            <w:left w:val="none" w:sz="0" w:space="0" w:color="auto"/>
            <w:bottom w:val="none" w:sz="0" w:space="0" w:color="auto"/>
            <w:right w:val="none" w:sz="0" w:space="0" w:color="auto"/>
          </w:divBdr>
        </w:div>
      </w:divsChild>
    </w:div>
    <w:div w:id="14138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Trubunalul Judecătoriei </vt:lpstr>
      <vt:lpstr>Trubunalul Judecătoriei </vt:lpstr>
    </vt:vector>
  </TitlesOfParts>
  <Company>PricewaterhouseCoopers</Company>
  <LinksUpToDate>false</LinksUpToDate>
  <CharactersWithSpaces>3952</CharactersWithSpaces>
  <SharedDoc>false</SharedDoc>
  <HLinks>
    <vt:vector size="6" baseType="variant">
      <vt:variant>
        <vt:i4>1507422</vt:i4>
      </vt:variant>
      <vt:variant>
        <vt:i4>0</vt:i4>
      </vt:variant>
      <vt:variant>
        <vt:i4>0</vt:i4>
      </vt:variant>
      <vt:variant>
        <vt:i4>5</vt:i4>
      </vt:variant>
      <vt:variant>
        <vt:lpwstr>http://www.siomax.ro/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Trubunalul Judecătoriei</dc:title>
  <dc:subject/>
  <dc:creator>PricewaterhouseCoopers</dc:creator>
  <cp:keywords/>
  <dc:description/>
  <cp:lastModifiedBy>vizzy_dr</cp:lastModifiedBy>
  <cp:revision>2</cp:revision>
  <cp:lastPrinted>2016-03-28T09:04:00Z</cp:lastPrinted>
  <dcterms:created xsi:type="dcterms:W3CDTF">2018-12-17T09:36:00Z</dcterms:created>
  <dcterms:modified xsi:type="dcterms:W3CDTF">2018-12-17T09:36:00Z</dcterms:modified>
</cp:coreProperties>
</file>